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3"/>
        <w:tblW w:w="5351" w:type="pct"/>
        <w:tblLook w:val="04A0" w:firstRow="1" w:lastRow="0" w:firstColumn="1" w:lastColumn="0" w:noHBand="0" w:noVBand="1"/>
      </w:tblPr>
      <w:tblGrid>
        <w:gridCol w:w="10017"/>
      </w:tblGrid>
      <w:tr w:rsidR="00FC51F6" w:rsidRPr="00D00905" w14:paraId="61F4BFCC" w14:textId="77777777" w:rsidTr="00C74B60">
        <w:trPr>
          <w:trHeight w:val="2160"/>
        </w:trPr>
        <w:tc>
          <w:tcPr>
            <w:tcW w:w="5000" w:type="pct"/>
          </w:tcPr>
          <w:p w14:paraId="7DEF574A" w14:textId="77777777" w:rsidR="00FC51F6" w:rsidRPr="00D00905" w:rsidRDefault="00FC51F6" w:rsidP="00C74B60">
            <w:pPr>
              <w:tabs>
                <w:tab w:val="left" w:pos="5743"/>
              </w:tabs>
              <w:jc w:val="center"/>
              <w:rPr>
                <w:sz w:val="48"/>
                <w:szCs w:val="48"/>
              </w:rPr>
            </w:pPr>
            <w:r w:rsidRPr="00D00905">
              <w:rPr>
                <w:noProof/>
                <w:sz w:val="48"/>
                <w:szCs w:val="48"/>
              </w:rPr>
              <w:drawing>
                <wp:inline distT="0" distB="0" distL="0" distR="0" wp14:anchorId="1332C953" wp14:editId="1E621FF0">
                  <wp:extent cx="1330960" cy="651706"/>
                  <wp:effectExtent l="0" t="0" r="2540" b="0"/>
                  <wp:docPr id="2" name="Picture 1" descr="unfp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fp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08" cy="660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F6" w14:paraId="07340FE2" w14:textId="77777777" w:rsidTr="00C74B60">
        <w:trPr>
          <w:trHeight w:val="594"/>
        </w:trPr>
        <w:tc>
          <w:tcPr>
            <w:tcW w:w="5000" w:type="pct"/>
            <w:tcBorders>
              <w:bottom w:val="single" w:sz="4" w:space="0" w:color="5B9BD5" w:themeColor="accent1"/>
            </w:tcBorders>
            <w:vAlign w:val="center"/>
          </w:tcPr>
          <w:p w14:paraId="056ED027" w14:textId="77777777" w:rsidR="00FC51F6" w:rsidRPr="00C74B60" w:rsidRDefault="00C74B60" w:rsidP="00C74B60">
            <w:pPr>
              <w:pStyle w:val="NoSpacing"/>
              <w:rPr>
                <w:rFonts w:asciiTheme="majorHAnsi" w:eastAsiaTheme="majorEastAsia" w:hAnsiTheme="majorHAnsi" w:cstheme="majorBidi"/>
                <w:sz w:val="8"/>
                <w:szCs w:val="8"/>
              </w:rPr>
            </w:pPr>
            <w:r w:rsidRPr="00C74B60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70092A" wp14:editId="261C54F8">
                      <wp:simplePos x="0" y="0"/>
                      <wp:positionH relativeFrom="column">
                        <wp:posOffset>-6786880</wp:posOffset>
                      </wp:positionH>
                      <wp:positionV relativeFrom="paragraph">
                        <wp:posOffset>-1122680</wp:posOffset>
                      </wp:positionV>
                      <wp:extent cx="585216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alias w:val="Title"/>
                                    <w:id w:val="104887644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7812EC9" w14:textId="302FC82B" w:rsidR="00C74B60" w:rsidRDefault="004A2228" w:rsidP="00C74B6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t>The Central Emergency Response Fund (CERF)</w:t>
                                      </w:r>
                                      <w:r w:rsidRPr="00FC51F6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t xml:space="preserve">: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t>UNFPA actions to improve timely disbursement and implementation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00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34.4pt;margin-top:-88.4pt;width:460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tp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eL60VZLDH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alias w:val="Title"/>
                              <w:id w:val="104887644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7812EC9" w14:textId="302FC82B" w:rsidR="00C74B60" w:rsidRDefault="004A2228" w:rsidP="00C74B60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The Central Emergency Response Fund (CERF)</w:t>
                                </w:r>
                                <w:r w:rsidRPr="00FC51F6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UNFPA actions to improve timely disbursement and implementation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3520EEA" w14:textId="77777777" w:rsidR="00C74B60" w:rsidRPr="003E2BB8" w:rsidRDefault="00C74B60" w:rsidP="003E2BB8">
      <w:pPr>
        <w:rPr>
          <w:rFonts w:ascii="Arial" w:hAnsi="Arial" w:cs="Arial"/>
          <w:b/>
          <w:color w:val="1F4E79" w:themeColor="accent1" w:themeShade="80"/>
        </w:rPr>
      </w:pPr>
    </w:p>
    <w:p w14:paraId="2E132198" w14:textId="77777777" w:rsidR="003E2BB8" w:rsidRPr="003E2BB8" w:rsidRDefault="003E2BB8" w:rsidP="00525484">
      <w:pPr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3E2BB8">
        <w:rPr>
          <w:rFonts w:ascii="Arial" w:hAnsi="Arial" w:cs="Arial"/>
          <w:b/>
          <w:color w:val="1F4E79" w:themeColor="accent1" w:themeShade="80"/>
          <w:sz w:val="24"/>
          <w:szCs w:val="24"/>
        </w:rPr>
        <w:t>Background</w:t>
      </w:r>
    </w:p>
    <w:p w14:paraId="2EFC7DFD" w14:textId="7FF850A0" w:rsidR="003E2BB8" w:rsidRDefault="003E2BB8" w:rsidP="005254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2014, the Central Emergency Response Fund supported UNFPA’s response to crises in twenty-eight countries with more than $ 15 million. Overall</w:t>
      </w:r>
      <w:r w:rsidR="004A22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67717">
        <w:rPr>
          <w:rFonts w:ascii="Arial" w:hAnsi="Arial" w:cs="Arial"/>
        </w:rPr>
        <w:t xml:space="preserve">CERF </w:t>
      </w:r>
      <w:r>
        <w:rPr>
          <w:rFonts w:ascii="Arial" w:hAnsi="Arial" w:cs="Arial"/>
        </w:rPr>
        <w:t>funds continue</w:t>
      </w:r>
      <w:r w:rsidR="004A222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be </w:t>
      </w:r>
      <w:r w:rsidRPr="00E67717">
        <w:rPr>
          <w:rFonts w:ascii="Arial" w:hAnsi="Arial" w:cs="Arial"/>
        </w:rPr>
        <w:t xml:space="preserve">a </w:t>
      </w:r>
      <w:r w:rsidR="004A2228">
        <w:rPr>
          <w:rFonts w:ascii="Arial" w:hAnsi="Arial" w:cs="Arial"/>
        </w:rPr>
        <w:t xml:space="preserve">very important source of support for </w:t>
      </w:r>
      <w:r>
        <w:rPr>
          <w:rFonts w:ascii="Arial" w:hAnsi="Arial" w:cs="Arial"/>
        </w:rPr>
        <w:t>UNFPA</w:t>
      </w:r>
      <w:r w:rsidR="004A2228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E67717">
        <w:rPr>
          <w:rFonts w:ascii="Arial" w:hAnsi="Arial" w:cs="Arial"/>
        </w:rPr>
        <w:t>humanitarian response to almost</w:t>
      </w:r>
      <w:r>
        <w:rPr>
          <w:rFonts w:ascii="Arial" w:hAnsi="Arial" w:cs="Arial"/>
        </w:rPr>
        <w:t xml:space="preserve"> every major </w:t>
      </w:r>
      <w:r w:rsidR="004A2228">
        <w:rPr>
          <w:rFonts w:ascii="Arial" w:hAnsi="Arial" w:cs="Arial"/>
        </w:rPr>
        <w:t xml:space="preserve">humanitarian </w:t>
      </w:r>
      <w:r>
        <w:rPr>
          <w:rFonts w:ascii="Arial" w:hAnsi="Arial" w:cs="Arial"/>
        </w:rPr>
        <w:t xml:space="preserve">crisis </w:t>
      </w:r>
      <w:r w:rsidR="004A222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2014.</w:t>
      </w:r>
      <w:r w:rsidRPr="003E2BB8">
        <w:rPr>
          <w:rFonts w:ascii="Arial" w:hAnsi="Arial" w:cs="Arial"/>
        </w:rPr>
        <w:t xml:space="preserve"> </w:t>
      </w:r>
      <w:r w:rsidR="004A2228">
        <w:rPr>
          <w:rFonts w:ascii="Arial" w:hAnsi="Arial" w:cs="Arial"/>
        </w:rPr>
        <w:t xml:space="preserve">CERF funds also </w:t>
      </w:r>
      <w:r>
        <w:rPr>
          <w:rFonts w:ascii="Arial" w:hAnsi="Arial" w:cs="Arial"/>
        </w:rPr>
        <w:t>played a crucial role in kick-starting the humanitarian operations of UNFPA country offices</w:t>
      </w:r>
      <w:r w:rsidR="004A2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</w:t>
      </w:r>
      <w:r w:rsidRPr="00A96631">
        <w:rPr>
          <w:rFonts w:ascii="Arial" w:hAnsi="Arial" w:cs="Arial"/>
        </w:rPr>
        <w:t>aftermath of crises.</w:t>
      </w:r>
    </w:p>
    <w:p w14:paraId="277A2E79" w14:textId="1B4347E2" w:rsidR="00225EF9" w:rsidRPr="001A5CCD" w:rsidRDefault="00225EF9" w:rsidP="00525484">
      <w:pPr>
        <w:jc w:val="both"/>
        <w:rPr>
          <w:rFonts w:ascii="Arial" w:hAnsi="Arial" w:cs="Arial"/>
        </w:rPr>
      </w:pPr>
      <w:r w:rsidRPr="001A5CC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C74B60">
        <w:rPr>
          <w:rFonts w:ascii="Arial" w:hAnsi="Arial" w:cs="Arial"/>
        </w:rPr>
        <w:t xml:space="preserve">response to the </w:t>
      </w:r>
      <w:r w:rsidR="007E5F72">
        <w:rPr>
          <w:rFonts w:ascii="Arial" w:hAnsi="Arial" w:cs="Arial"/>
        </w:rPr>
        <w:t>priority issue</w:t>
      </w:r>
      <w:r>
        <w:rPr>
          <w:rFonts w:ascii="Arial" w:hAnsi="Arial" w:cs="Arial"/>
        </w:rPr>
        <w:t xml:space="preserve"> of timeliness </w:t>
      </w:r>
      <w:r w:rsidR="004A2228">
        <w:rPr>
          <w:rFonts w:ascii="Arial" w:hAnsi="Arial" w:cs="Arial"/>
        </w:rPr>
        <w:t xml:space="preserve">of </w:t>
      </w:r>
      <w:r w:rsidR="003E2BB8">
        <w:rPr>
          <w:rFonts w:ascii="Arial" w:hAnsi="Arial" w:cs="Arial"/>
        </w:rPr>
        <w:t xml:space="preserve">CERF </w:t>
      </w:r>
      <w:r>
        <w:rPr>
          <w:rFonts w:ascii="Arial" w:hAnsi="Arial" w:cs="Arial"/>
        </w:rPr>
        <w:t>disbursement</w:t>
      </w:r>
      <w:r w:rsidR="004A2228">
        <w:rPr>
          <w:rFonts w:ascii="Arial" w:hAnsi="Arial" w:cs="Arial"/>
        </w:rPr>
        <w:t>s</w:t>
      </w:r>
      <w:r w:rsidR="00D877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877CF">
        <w:rPr>
          <w:rFonts w:ascii="Arial" w:hAnsi="Arial" w:cs="Arial"/>
        </w:rPr>
        <w:t xml:space="preserve">UNFPA undertook an </w:t>
      </w:r>
      <w:r w:rsidR="00C74B60">
        <w:rPr>
          <w:rFonts w:ascii="Arial" w:hAnsi="Arial" w:cs="Arial"/>
        </w:rPr>
        <w:t xml:space="preserve">internal </w:t>
      </w:r>
      <w:r w:rsidR="00D877CF">
        <w:rPr>
          <w:rFonts w:ascii="Arial" w:hAnsi="Arial" w:cs="Arial"/>
        </w:rPr>
        <w:t>analysis</w:t>
      </w:r>
      <w:r>
        <w:rPr>
          <w:rFonts w:ascii="Arial" w:hAnsi="Arial" w:cs="Arial"/>
        </w:rPr>
        <w:t xml:space="preserve"> in 2014</w:t>
      </w:r>
      <w:r w:rsidRPr="001A5CCD">
        <w:rPr>
          <w:rFonts w:ascii="Arial" w:hAnsi="Arial" w:cs="Arial"/>
        </w:rPr>
        <w:t xml:space="preserve"> to understand the underlying reasons for </w:t>
      </w:r>
      <w:r w:rsidR="004A2228">
        <w:rPr>
          <w:rFonts w:ascii="Arial" w:hAnsi="Arial" w:cs="Arial"/>
        </w:rPr>
        <w:t xml:space="preserve">the timelines for </w:t>
      </w:r>
      <w:r w:rsidRPr="001A5CCD">
        <w:rPr>
          <w:rFonts w:ascii="Arial" w:hAnsi="Arial" w:cs="Arial"/>
        </w:rPr>
        <w:t>disbursement</w:t>
      </w:r>
      <w:r w:rsidR="004A2228">
        <w:rPr>
          <w:rFonts w:ascii="Arial" w:hAnsi="Arial" w:cs="Arial"/>
        </w:rPr>
        <w:t>s</w:t>
      </w:r>
      <w:r w:rsidRPr="001A5CCD">
        <w:rPr>
          <w:rFonts w:ascii="Arial" w:hAnsi="Arial" w:cs="Arial"/>
        </w:rPr>
        <w:t xml:space="preserve"> </w:t>
      </w:r>
      <w:r w:rsidR="00CF0E0B">
        <w:rPr>
          <w:rFonts w:ascii="Arial" w:hAnsi="Arial" w:cs="Arial"/>
        </w:rPr>
        <w:t xml:space="preserve">made by country offices </w:t>
      </w:r>
      <w:r w:rsidRPr="001A5CC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to see how best to support </w:t>
      </w:r>
      <w:r w:rsidR="00CF0E0B">
        <w:rPr>
          <w:rFonts w:ascii="Arial" w:hAnsi="Arial" w:cs="Arial"/>
        </w:rPr>
        <w:t xml:space="preserve">them </w:t>
      </w:r>
      <w:r w:rsidRPr="001A5CCD">
        <w:rPr>
          <w:rFonts w:ascii="Arial" w:hAnsi="Arial" w:cs="Arial"/>
        </w:rPr>
        <w:t>to improve performance.</w:t>
      </w:r>
    </w:p>
    <w:p w14:paraId="1555B073" w14:textId="77777777" w:rsidR="004161B2" w:rsidRDefault="001A5CCD" w:rsidP="004161B2">
      <w:pPr>
        <w:rPr>
          <w:rFonts w:ascii="Arial" w:hAnsi="Arial" w:cs="Arial"/>
        </w:rPr>
      </w:pPr>
      <w:r w:rsidRPr="001A5CCD">
        <w:rPr>
          <w:rFonts w:ascii="Arial" w:hAnsi="Arial" w:cs="Arial"/>
        </w:rPr>
        <w:t>The review c</w:t>
      </w:r>
      <w:r w:rsidR="004161B2">
        <w:rPr>
          <w:rFonts w:ascii="Arial" w:hAnsi="Arial" w:cs="Arial"/>
        </w:rPr>
        <w:t xml:space="preserve">riteria </w:t>
      </w:r>
      <w:r w:rsidR="00D877CF">
        <w:rPr>
          <w:rFonts w:ascii="Arial" w:hAnsi="Arial" w:cs="Arial"/>
        </w:rPr>
        <w:t xml:space="preserve">considered for the analysis </w:t>
      </w:r>
      <w:r w:rsidR="007E5F72">
        <w:rPr>
          <w:rFonts w:ascii="Arial" w:hAnsi="Arial" w:cs="Arial"/>
        </w:rPr>
        <w:t>included</w:t>
      </w:r>
      <w:r w:rsidR="004161B2">
        <w:rPr>
          <w:rFonts w:ascii="Arial" w:hAnsi="Arial" w:cs="Arial"/>
        </w:rPr>
        <w:t xml:space="preserve"> the following:</w:t>
      </w:r>
    </w:p>
    <w:p w14:paraId="135EF31D" w14:textId="7F297A8C" w:rsidR="001A5CCD" w:rsidRPr="004161B2" w:rsidRDefault="001A5CCD" w:rsidP="00C75E2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161B2">
        <w:rPr>
          <w:rFonts w:ascii="Arial" w:eastAsia="Times New Roman" w:hAnsi="Arial" w:cs="Arial"/>
          <w:b/>
          <w:color w:val="222222"/>
        </w:rPr>
        <w:t>R</w:t>
      </w:r>
      <w:r w:rsidRPr="004161B2">
        <w:rPr>
          <w:rFonts w:ascii="Arial" w:eastAsia="Times New Roman" w:hAnsi="Arial" w:cs="Arial"/>
          <w:b/>
          <w:bCs/>
          <w:color w:val="222222"/>
        </w:rPr>
        <w:t>eview the statistics</w:t>
      </w:r>
      <w:r w:rsidRPr="004161B2">
        <w:rPr>
          <w:rFonts w:ascii="Arial" w:eastAsia="Times New Roman" w:hAnsi="Arial" w:cs="Arial"/>
          <w:color w:val="222222"/>
        </w:rPr>
        <w:t> for</w:t>
      </w:r>
      <w:r w:rsidR="003E2BB8">
        <w:rPr>
          <w:rFonts w:ascii="Arial" w:eastAsia="Times New Roman" w:hAnsi="Arial" w:cs="Arial"/>
          <w:color w:val="222222"/>
        </w:rPr>
        <w:t xml:space="preserve"> respective countries</w:t>
      </w:r>
      <w:r w:rsidRPr="004161B2">
        <w:rPr>
          <w:rFonts w:ascii="Arial" w:eastAsia="Times New Roman" w:hAnsi="Arial" w:cs="Arial"/>
          <w:color w:val="222222"/>
        </w:rPr>
        <w:t xml:space="preserve"> and </w:t>
      </w:r>
      <w:r w:rsidR="004A2228">
        <w:rPr>
          <w:rFonts w:ascii="Arial" w:eastAsia="Times New Roman" w:hAnsi="Arial" w:cs="Arial"/>
          <w:color w:val="222222"/>
        </w:rPr>
        <w:t xml:space="preserve">their </w:t>
      </w:r>
      <w:r w:rsidRPr="004161B2">
        <w:rPr>
          <w:rFonts w:ascii="Arial" w:eastAsia="Times New Roman" w:hAnsi="Arial" w:cs="Arial"/>
          <w:color w:val="222222"/>
        </w:rPr>
        <w:t>accuracy based on the reality on the ground (e.g. the spreadsheet is based on payments made and in some cases activities may have been implemented which is not self-evident from the financial data).</w:t>
      </w:r>
    </w:p>
    <w:p w14:paraId="3CA15004" w14:textId="77777777" w:rsidR="004161B2" w:rsidRPr="004161B2" w:rsidRDefault="004161B2" w:rsidP="00C75E20">
      <w:pPr>
        <w:pStyle w:val="ListParagraph"/>
        <w:jc w:val="both"/>
        <w:rPr>
          <w:rFonts w:ascii="Arial" w:hAnsi="Arial" w:cs="Arial"/>
        </w:rPr>
      </w:pPr>
    </w:p>
    <w:p w14:paraId="138770F0" w14:textId="754F37B4" w:rsidR="004161B2" w:rsidRDefault="001A5CCD" w:rsidP="00C75E2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4161B2">
        <w:rPr>
          <w:rFonts w:ascii="Arial" w:eastAsia="Times New Roman" w:hAnsi="Arial" w:cs="Arial"/>
          <w:b/>
          <w:bCs/>
          <w:color w:val="222222"/>
        </w:rPr>
        <w:t>For countries with an average of 0-25 days</w:t>
      </w:r>
      <w:r w:rsidRPr="004161B2">
        <w:rPr>
          <w:rFonts w:ascii="Arial" w:eastAsia="Times New Roman" w:hAnsi="Arial" w:cs="Arial"/>
          <w:color w:val="222222"/>
        </w:rPr>
        <w:t> for first disbursement,</w:t>
      </w:r>
      <w:r w:rsidR="004161B2" w:rsidRPr="004161B2">
        <w:rPr>
          <w:rFonts w:ascii="Arial" w:eastAsia="Times New Roman" w:hAnsi="Arial" w:cs="Arial"/>
          <w:color w:val="222222"/>
        </w:rPr>
        <w:t xml:space="preserve"> learn from their experience and identify </w:t>
      </w:r>
      <w:r w:rsidRPr="004161B2">
        <w:rPr>
          <w:rFonts w:ascii="Arial" w:eastAsia="Times New Roman" w:hAnsi="Arial" w:cs="Arial"/>
          <w:color w:val="222222"/>
        </w:rPr>
        <w:t>best practices especially with regard to preparedness.  </w:t>
      </w:r>
    </w:p>
    <w:p w14:paraId="4E04659A" w14:textId="77777777" w:rsidR="004161B2" w:rsidRPr="004161B2" w:rsidRDefault="004161B2" w:rsidP="00C75E20">
      <w:pPr>
        <w:pStyle w:val="ListParagraph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19BAAA8D" w14:textId="7B18F57D" w:rsidR="001A5CCD" w:rsidRDefault="001A5CCD" w:rsidP="00C75E2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4161B2">
        <w:rPr>
          <w:rFonts w:ascii="Arial" w:eastAsia="Times New Roman" w:hAnsi="Arial" w:cs="Arial"/>
          <w:b/>
          <w:bCs/>
          <w:color w:val="222222"/>
        </w:rPr>
        <w:t>For other countries, especially those on the high end of the spectrum, </w:t>
      </w:r>
      <w:r w:rsidR="004161B2" w:rsidRPr="004161B2">
        <w:rPr>
          <w:rFonts w:ascii="Arial" w:eastAsia="Times New Roman" w:hAnsi="Arial" w:cs="Arial"/>
          <w:color w:val="222222"/>
        </w:rPr>
        <w:t xml:space="preserve">country offices were requested to underline </w:t>
      </w:r>
      <w:r w:rsidRPr="004161B2">
        <w:rPr>
          <w:rFonts w:ascii="Arial" w:eastAsia="Times New Roman" w:hAnsi="Arial" w:cs="Arial"/>
          <w:color w:val="222222"/>
        </w:rPr>
        <w:t xml:space="preserve">the challenges that brought about high averages, particularly systemic bottlenecks to implementation that might require </w:t>
      </w:r>
      <w:r w:rsidR="00CF0E0B">
        <w:rPr>
          <w:rFonts w:ascii="Arial" w:eastAsia="Times New Roman" w:hAnsi="Arial" w:cs="Arial"/>
          <w:color w:val="222222"/>
        </w:rPr>
        <w:t xml:space="preserve">the </w:t>
      </w:r>
      <w:r w:rsidRPr="004161B2">
        <w:rPr>
          <w:rFonts w:ascii="Arial" w:eastAsia="Times New Roman" w:hAnsi="Arial" w:cs="Arial"/>
          <w:color w:val="222222"/>
        </w:rPr>
        <w:t xml:space="preserve">review </w:t>
      </w:r>
      <w:r w:rsidR="00CF0E0B">
        <w:rPr>
          <w:rFonts w:ascii="Arial" w:eastAsia="Times New Roman" w:hAnsi="Arial" w:cs="Arial"/>
          <w:color w:val="222222"/>
        </w:rPr>
        <w:t xml:space="preserve">of </w:t>
      </w:r>
      <w:r w:rsidRPr="004161B2">
        <w:rPr>
          <w:rFonts w:ascii="Arial" w:eastAsia="Times New Roman" w:hAnsi="Arial" w:cs="Arial"/>
          <w:color w:val="222222"/>
        </w:rPr>
        <w:t>or changes to existing procedures.</w:t>
      </w:r>
    </w:p>
    <w:p w14:paraId="292DA264" w14:textId="77777777" w:rsidR="002D64E3" w:rsidRPr="002D64E3" w:rsidRDefault="002D64E3" w:rsidP="00C75E20">
      <w:pPr>
        <w:pStyle w:val="ListParagraph"/>
        <w:jc w:val="both"/>
        <w:rPr>
          <w:rFonts w:ascii="Arial" w:eastAsia="Times New Roman" w:hAnsi="Arial" w:cs="Arial"/>
          <w:color w:val="222222"/>
        </w:rPr>
      </w:pPr>
    </w:p>
    <w:p w14:paraId="56BB8E86" w14:textId="0A39F951" w:rsidR="002D64E3" w:rsidRDefault="003E2BB8" w:rsidP="002D64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findings in this report were</w:t>
      </w:r>
      <w:r w:rsidR="002D64E3">
        <w:rPr>
          <w:rFonts w:ascii="Arial" w:eastAsia="Times New Roman" w:hAnsi="Arial" w:cs="Arial"/>
          <w:color w:val="222222"/>
        </w:rPr>
        <w:t xml:space="preserve"> based on desk reviews, survey analysis, consultations with country offices (</w:t>
      </w:r>
      <w:r w:rsidR="001141C3">
        <w:rPr>
          <w:rFonts w:ascii="Arial" w:eastAsia="Times New Roman" w:hAnsi="Arial" w:cs="Arial"/>
          <w:color w:val="222222"/>
        </w:rPr>
        <w:t xml:space="preserve">Country </w:t>
      </w:r>
      <w:r w:rsidR="002D64E3">
        <w:rPr>
          <w:rFonts w:ascii="Arial" w:eastAsia="Times New Roman" w:hAnsi="Arial" w:cs="Arial"/>
          <w:color w:val="222222"/>
        </w:rPr>
        <w:t xml:space="preserve">Representatives and Humanitarian Coordinators of CERF </w:t>
      </w:r>
      <w:r w:rsidR="00D877CF">
        <w:rPr>
          <w:rFonts w:ascii="Arial" w:eastAsia="Times New Roman" w:hAnsi="Arial" w:cs="Arial"/>
          <w:color w:val="222222"/>
        </w:rPr>
        <w:t>recipient</w:t>
      </w:r>
      <w:r w:rsidR="002D64E3">
        <w:rPr>
          <w:rFonts w:ascii="Arial" w:eastAsia="Times New Roman" w:hAnsi="Arial" w:cs="Arial"/>
          <w:color w:val="222222"/>
        </w:rPr>
        <w:t xml:space="preserve"> countries in 2013). The preliminary findings were also discussed at the Global</w:t>
      </w:r>
      <w:r>
        <w:rPr>
          <w:rFonts w:ascii="Arial" w:eastAsia="Times New Roman" w:hAnsi="Arial" w:cs="Arial"/>
          <w:color w:val="222222"/>
        </w:rPr>
        <w:t xml:space="preserve"> UNFPA</w:t>
      </w:r>
      <w:r w:rsidR="002D64E3">
        <w:rPr>
          <w:rFonts w:ascii="Arial" w:eastAsia="Times New Roman" w:hAnsi="Arial" w:cs="Arial"/>
          <w:color w:val="222222"/>
        </w:rPr>
        <w:t xml:space="preserve"> Humanitarian Consul</w:t>
      </w:r>
      <w:r w:rsidR="00D877CF">
        <w:rPr>
          <w:rFonts w:ascii="Arial" w:eastAsia="Times New Roman" w:hAnsi="Arial" w:cs="Arial"/>
          <w:color w:val="222222"/>
        </w:rPr>
        <w:t xml:space="preserve">tation held in New York </w:t>
      </w:r>
      <w:r w:rsidR="00CF0E0B">
        <w:rPr>
          <w:rFonts w:ascii="Arial" w:eastAsia="Times New Roman" w:hAnsi="Arial" w:cs="Arial"/>
          <w:color w:val="222222"/>
        </w:rPr>
        <w:t xml:space="preserve">in </w:t>
      </w:r>
      <w:r w:rsidR="007E5F72">
        <w:rPr>
          <w:rFonts w:ascii="Arial" w:eastAsia="Times New Roman" w:hAnsi="Arial" w:cs="Arial"/>
          <w:color w:val="222222"/>
        </w:rPr>
        <w:t>August 2014.</w:t>
      </w:r>
    </w:p>
    <w:p w14:paraId="74578D5B" w14:textId="77777777" w:rsidR="006616FD" w:rsidRDefault="006616FD" w:rsidP="002D64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DD6E4BA" w14:textId="77777777" w:rsidR="003E2BB8" w:rsidRDefault="003E2BB8" w:rsidP="002D64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CF6FCF6" w14:textId="77777777" w:rsidR="00C75E20" w:rsidRDefault="00C75E20" w:rsidP="002D64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0ADECF8F" w14:textId="77777777" w:rsidR="00C75E20" w:rsidRDefault="00C75E20" w:rsidP="002D64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8119967" w14:textId="0CBCD12B" w:rsidR="006616FD" w:rsidRPr="003E2BB8" w:rsidRDefault="003E2BB8" w:rsidP="0066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</w:rPr>
      </w:pPr>
      <w:r w:rsidRPr="003E2BB8">
        <w:rPr>
          <w:rFonts w:ascii="Arial" w:eastAsia="Times New Roman" w:hAnsi="Arial" w:cs="Arial"/>
          <w:b/>
          <w:color w:val="1F4E79" w:themeColor="accent1" w:themeShade="80"/>
          <w:sz w:val="24"/>
          <w:szCs w:val="24"/>
        </w:rPr>
        <w:lastRenderedPageBreak/>
        <w:t>Actions taken by UNFPA to improve CERF disbursement</w:t>
      </w:r>
      <w:r w:rsidR="00CF0E0B">
        <w:rPr>
          <w:rFonts w:ascii="Arial" w:eastAsia="Times New Roman" w:hAnsi="Arial" w:cs="Arial"/>
          <w:b/>
          <w:color w:val="1F4E79" w:themeColor="accent1" w:themeShade="80"/>
          <w:sz w:val="24"/>
          <w:szCs w:val="24"/>
        </w:rPr>
        <w:t>s</w:t>
      </w:r>
    </w:p>
    <w:p w14:paraId="7636B21F" w14:textId="77777777" w:rsidR="003E2BB8" w:rsidRDefault="003E2BB8" w:rsidP="0066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2B5C47D3" w14:textId="42B104D6" w:rsidR="00D130B1" w:rsidRDefault="003E2BB8" w:rsidP="0066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Based on the top challenges identified</w:t>
      </w:r>
      <w:r w:rsidR="00D130B1">
        <w:rPr>
          <w:rFonts w:ascii="Arial" w:eastAsia="Times New Roman" w:hAnsi="Arial" w:cs="Arial"/>
        </w:rPr>
        <w:t xml:space="preserve"> (namely</w:t>
      </w:r>
      <w:r w:rsidR="00CF0E0B">
        <w:rPr>
          <w:rFonts w:ascii="Arial" w:eastAsia="Times New Roman" w:hAnsi="Arial" w:cs="Arial"/>
        </w:rPr>
        <w:t>,</w:t>
      </w:r>
      <w:r w:rsidR="00D130B1">
        <w:rPr>
          <w:rFonts w:ascii="Arial" w:eastAsia="Times New Roman" w:hAnsi="Arial" w:cs="Arial"/>
        </w:rPr>
        <w:t xml:space="preserve"> partnership, staff capacity, internal programming and financial procedures and pre-financing) from the UNFPA’s review on CERF, and good practices identified on preparedness, UNFPA has taken the following actions to improve CERF disbursement and implementation: </w:t>
      </w:r>
    </w:p>
    <w:p w14:paraId="0E3C272C" w14:textId="4A01E8B4" w:rsidR="001A6F3B" w:rsidRPr="001A6F3B" w:rsidRDefault="001A6F3B" w:rsidP="008016A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1A6F3B">
        <w:rPr>
          <w:rFonts w:ascii="Arial" w:eastAsia="Times New Roman" w:hAnsi="Arial" w:cs="Arial"/>
          <w:b/>
        </w:rPr>
        <w:t>Preparedness</w:t>
      </w:r>
      <w:r>
        <w:rPr>
          <w:rFonts w:ascii="Arial" w:eastAsia="Times New Roman" w:hAnsi="Arial" w:cs="Arial"/>
          <w:b/>
        </w:rPr>
        <w:t>: Roll</w:t>
      </w:r>
      <w:r w:rsidR="004A2228">
        <w:rPr>
          <w:rFonts w:ascii="Arial" w:eastAsia="Times New Roman" w:hAnsi="Arial" w:cs="Arial"/>
          <w:b/>
        </w:rPr>
        <w:t xml:space="preserve"> </w:t>
      </w:r>
      <w:r w:rsidR="00D130B1">
        <w:rPr>
          <w:rFonts w:ascii="Arial" w:eastAsia="Times New Roman" w:hAnsi="Arial" w:cs="Arial"/>
          <w:b/>
        </w:rPr>
        <w:t xml:space="preserve">out </w:t>
      </w:r>
      <w:r>
        <w:rPr>
          <w:rFonts w:ascii="Arial" w:eastAsia="Times New Roman" w:hAnsi="Arial" w:cs="Arial"/>
          <w:b/>
        </w:rPr>
        <w:t>of</w:t>
      </w:r>
      <w:r w:rsidR="00D130B1">
        <w:rPr>
          <w:rFonts w:ascii="Arial" w:eastAsia="Times New Roman" w:hAnsi="Arial" w:cs="Arial"/>
          <w:b/>
        </w:rPr>
        <w:t xml:space="preserve"> the</w:t>
      </w:r>
      <w:r>
        <w:rPr>
          <w:rFonts w:ascii="Arial" w:eastAsia="Times New Roman" w:hAnsi="Arial" w:cs="Arial"/>
          <w:b/>
        </w:rPr>
        <w:t xml:space="preserve"> UNFPA’s Minimum Preparedness Action</w:t>
      </w:r>
      <w:r w:rsidR="00D130B1">
        <w:rPr>
          <w:rFonts w:ascii="Arial" w:eastAsia="Times New Roman" w:hAnsi="Arial" w:cs="Arial"/>
          <w:b/>
        </w:rPr>
        <w:t>s</w:t>
      </w:r>
    </w:p>
    <w:p w14:paraId="34B77B55" w14:textId="27452868" w:rsidR="001131CD" w:rsidRDefault="001131CD" w:rsidP="00C75E20">
      <w:pPr>
        <w:spacing w:after="0" w:line="240" w:lineRule="auto"/>
        <w:ind w:right="187"/>
        <w:jc w:val="both"/>
        <w:rPr>
          <w:rFonts w:ascii="Arial" w:hAnsi="Arial" w:cs="Arial"/>
        </w:rPr>
      </w:pPr>
      <w:r w:rsidRPr="001131CD">
        <w:rPr>
          <w:rFonts w:ascii="Arial" w:hAnsi="Arial" w:cs="Arial"/>
        </w:rPr>
        <w:t xml:space="preserve">In 2014, priority attention was given to improved preparedness, especially in </w:t>
      </w:r>
      <w:r w:rsidRPr="001131CD">
        <w:rPr>
          <w:rFonts w:ascii="Arial" w:eastAsia="Times New Roman" w:hAnsi="Arial" w:cs="Arial"/>
        </w:rPr>
        <w:t>33 high-risk countries</w:t>
      </w:r>
      <w:r w:rsidRPr="001131CD">
        <w:rPr>
          <w:rStyle w:val="FootnoteReference"/>
          <w:rFonts w:ascii="Arial" w:eastAsia="Times New Roman" w:hAnsi="Arial" w:cs="Arial"/>
        </w:rPr>
        <w:footnoteReference w:id="1"/>
      </w:r>
      <w:r w:rsidRPr="001131CD">
        <w:rPr>
          <w:rFonts w:ascii="Arial" w:hAnsi="Arial" w:cs="Arial"/>
        </w:rPr>
        <w:t xml:space="preserve">, through: expanded partnerships for rapid deployment of standby expert personnel; joint pre-positioning of supplies; roll out of </w:t>
      </w:r>
      <w:r w:rsidR="004A222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NFPA’s guidance on </w:t>
      </w:r>
      <w:r w:rsidRPr="001131CD">
        <w:rPr>
          <w:rFonts w:ascii="Arial" w:hAnsi="Arial" w:cs="Arial"/>
        </w:rPr>
        <w:t>Minimum Preparedness Actions (MPAs)</w:t>
      </w:r>
      <w:r>
        <w:rPr>
          <w:rFonts w:ascii="Arial" w:hAnsi="Arial" w:cs="Arial"/>
        </w:rPr>
        <w:t xml:space="preserve"> including partnership assessment and mapping</w:t>
      </w:r>
      <w:r w:rsidRPr="001131CD">
        <w:rPr>
          <w:rFonts w:ascii="Arial" w:hAnsi="Arial" w:cs="Arial"/>
        </w:rPr>
        <w:t>; establishment of a roster of experts for sexual and reproductive health and gender-based violence; assessments of the readiness of national governments to implement the Minimum Initial Services Package for reproductive health in crisis; development of Minimum Standards for</w:t>
      </w:r>
      <w:r>
        <w:rPr>
          <w:rFonts w:ascii="Arial" w:hAnsi="Arial" w:cs="Arial"/>
        </w:rPr>
        <w:t xml:space="preserve"> addressing Gender-Based-Violence in emergencies</w:t>
      </w:r>
      <w:r w:rsidRPr="00113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131CD">
        <w:rPr>
          <w:rFonts w:ascii="Arial" w:hAnsi="Arial" w:cs="Arial"/>
        </w:rPr>
        <w:t>GBViE</w:t>
      </w:r>
      <w:r>
        <w:rPr>
          <w:rFonts w:ascii="Arial" w:hAnsi="Arial" w:cs="Arial"/>
        </w:rPr>
        <w:t>)</w:t>
      </w:r>
      <w:r w:rsidRPr="001131CD">
        <w:rPr>
          <w:rFonts w:ascii="Arial" w:hAnsi="Arial" w:cs="Arial"/>
        </w:rPr>
        <w:t>; and the roll out of regional simulation exercises</w:t>
      </w:r>
      <w:r>
        <w:rPr>
          <w:rFonts w:ascii="Arial" w:hAnsi="Arial" w:cs="Arial"/>
        </w:rPr>
        <w:t>.</w:t>
      </w:r>
    </w:p>
    <w:p w14:paraId="7E033621" w14:textId="77777777" w:rsidR="001131CD" w:rsidRDefault="001131CD" w:rsidP="00C75E20">
      <w:pPr>
        <w:spacing w:after="0" w:line="240" w:lineRule="auto"/>
        <w:ind w:right="187"/>
        <w:jc w:val="both"/>
        <w:rPr>
          <w:rFonts w:ascii="Arial" w:hAnsi="Arial" w:cs="Arial"/>
        </w:rPr>
      </w:pPr>
    </w:p>
    <w:p w14:paraId="5C40906A" w14:textId="77777777" w:rsidR="001131CD" w:rsidRDefault="001131CD" w:rsidP="001131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33F1193C" w14:textId="5BD52F8C" w:rsidR="001131CD" w:rsidRDefault="006823D9" w:rsidP="001131C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Development of n</w:t>
      </w:r>
      <w:r w:rsidR="001131CD" w:rsidRPr="00236971">
        <w:rPr>
          <w:rFonts w:ascii="Arial" w:eastAsia="Times New Roman" w:hAnsi="Arial" w:cs="Arial"/>
          <w:b/>
        </w:rPr>
        <w:t>ew financial tracking tool</w:t>
      </w:r>
      <w:r w:rsidR="001131CD">
        <w:rPr>
          <w:rFonts w:ascii="Arial" w:eastAsia="Times New Roman" w:hAnsi="Arial" w:cs="Arial"/>
          <w:b/>
        </w:rPr>
        <w:t xml:space="preserve"> on CERF</w:t>
      </w:r>
    </w:p>
    <w:p w14:paraId="4361EDC3" w14:textId="77777777" w:rsidR="001131CD" w:rsidRPr="00236971" w:rsidRDefault="001131CD" w:rsidP="001131CD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EEB18F3" w14:textId="291C4D37" w:rsidR="001131CD" w:rsidRDefault="001131CD" w:rsidP="00C75E20">
      <w:pPr>
        <w:spacing w:after="0" w:line="240" w:lineRule="auto"/>
        <w:ind w:right="187"/>
        <w:jc w:val="both"/>
        <w:rPr>
          <w:rFonts w:ascii="Arial" w:hAnsi="Arial" w:cs="Arial"/>
        </w:rPr>
      </w:pPr>
      <w:r w:rsidRPr="008016AE">
        <w:rPr>
          <w:rFonts w:ascii="Arial" w:hAnsi="Arial" w:cs="Arial"/>
        </w:rPr>
        <w:t>The findings of the</w:t>
      </w:r>
      <w:r>
        <w:rPr>
          <w:rFonts w:ascii="Arial" w:hAnsi="Arial" w:cs="Arial"/>
        </w:rPr>
        <w:t xml:space="preserve"> UNFPA internal review on CERF</w:t>
      </w:r>
      <w:r w:rsidRPr="008016AE">
        <w:rPr>
          <w:rFonts w:ascii="Arial" w:hAnsi="Arial" w:cs="Arial"/>
        </w:rPr>
        <w:t xml:space="preserve"> resulted in the development of a new financial tracking tool which monitor</w:t>
      </w:r>
      <w:r w:rsidR="004A2228">
        <w:rPr>
          <w:rFonts w:ascii="Arial" w:hAnsi="Arial" w:cs="Arial"/>
        </w:rPr>
        <w:t>s</w:t>
      </w:r>
      <w:r w:rsidRPr="008016AE">
        <w:rPr>
          <w:rFonts w:ascii="Arial" w:hAnsi="Arial" w:cs="Arial"/>
        </w:rPr>
        <w:t xml:space="preserve"> timely disbursements</w:t>
      </w:r>
      <w:r>
        <w:rPr>
          <w:rFonts w:ascii="Arial" w:hAnsi="Arial" w:cs="Arial"/>
        </w:rPr>
        <w:t xml:space="preserve"> of CERF grants. The financial tracking tool was </w:t>
      </w:r>
      <w:r w:rsidR="00C04318">
        <w:rPr>
          <w:rFonts w:ascii="Arial" w:hAnsi="Arial" w:cs="Arial"/>
        </w:rPr>
        <w:t>complemented by regional analyses</w:t>
      </w:r>
      <w:r>
        <w:rPr>
          <w:rFonts w:ascii="Arial" w:hAnsi="Arial" w:cs="Arial"/>
        </w:rPr>
        <w:t xml:space="preserve"> o</w:t>
      </w:r>
      <w:r w:rsidR="004A222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UNFPA</w:t>
      </w:r>
      <w:r w:rsidR="00C04318">
        <w:rPr>
          <w:rFonts w:ascii="Arial" w:hAnsi="Arial" w:cs="Arial"/>
        </w:rPr>
        <w:t xml:space="preserve"> CERF disbursement</w:t>
      </w:r>
      <w:r w:rsidR="004A2228">
        <w:rPr>
          <w:rFonts w:ascii="Arial" w:hAnsi="Arial" w:cs="Arial"/>
        </w:rPr>
        <w:t>s</w:t>
      </w:r>
      <w:r w:rsidR="00C04318">
        <w:rPr>
          <w:rFonts w:ascii="Arial" w:hAnsi="Arial" w:cs="Arial"/>
        </w:rPr>
        <w:t xml:space="preserve"> to assist regional and country offices in their</w:t>
      </w:r>
      <w:r w:rsidR="004A2228">
        <w:rPr>
          <w:rFonts w:ascii="Arial" w:hAnsi="Arial" w:cs="Arial"/>
        </w:rPr>
        <w:t xml:space="preserve"> </w:t>
      </w:r>
      <w:r w:rsidR="00C04318">
        <w:rPr>
          <w:rFonts w:ascii="Arial" w:hAnsi="Arial" w:cs="Arial"/>
        </w:rPr>
        <w:t>day</w:t>
      </w:r>
      <w:r w:rsidR="004A2228">
        <w:rPr>
          <w:rFonts w:ascii="Arial" w:hAnsi="Arial" w:cs="Arial"/>
        </w:rPr>
        <w:t>-</w:t>
      </w:r>
      <w:r w:rsidR="00C04318">
        <w:rPr>
          <w:rFonts w:ascii="Arial" w:hAnsi="Arial" w:cs="Arial"/>
        </w:rPr>
        <w:t>to</w:t>
      </w:r>
      <w:r w:rsidR="004A2228">
        <w:rPr>
          <w:rFonts w:ascii="Arial" w:hAnsi="Arial" w:cs="Arial"/>
        </w:rPr>
        <w:t>-</w:t>
      </w:r>
      <w:r w:rsidR="00C04318">
        <w:rPr>
          <w:rFonts w:ascii="Arial" w:hAnsi="Arial" w:cs="Arial"/>
        </w:rPr>
        <w:t>day monitoring o</w:t>
      </w:r>
      <w:r w:rsidR="004A2228">
        <w:rPr>
          <w:rFonts w:ascii="Arial" w:hAnsi="Arial" w:cs="Arial"/>
        </w:rPr>
        <w:t>f activities related to</w:t>
      </w:r>
      <w:r w:rsidR="00C04318">
        <w:rPr>
          <w:rFonts w:ascii="Arial" w:hAnsi="Arial" w:cs="Arial"/>
        </w:rPr>
        <w:t xml:space="preserve"> CERF</w:t>
      </w:r>
      <w:r w:rsidR="004A2228">
        <w:rPr>
          <w:rFonts w:ascii="Arial" w:hAnsi="Arial" w:cs="Arial"/>
        </w:rPr>
        <w:t xml:space="preserve"> funds</w:t>
      </w:r>
      <w:r w:rsidR="00C04318">
        <w:rPr>
          <w:rFonts w:ascii="Arial" w:hAnsi="Arial" w:cs="Arial"/>
        </w:rPr>
        <w:t>.</w:t>
      </w:r>
    </w:p>
    <w:p w14:paraId="3C28E437" w14:textId="77777777" w:rsidR="001131CD" w:rsidRDefault="001131CD" w:rsidP="00C75E20">
      <w:pPr>
        <w:spacing w:after="0" w:line="240" w:lineRule="auto"/>
        <w:ind w:right="187"/>
        <w:jc w:val="both"/>
        <w:rPr>
          <w:rFonts w:ascii="Arial" w:hAnsi="Arial" w:cs="Arial"/>
        </w:rPr>
      </w:pPr>
    </w:p>
    <w:p w14:paraId="07C7E5D4" w14:textId="3DCAF77F" w:rsidR="001131CD" w:rsidRDefault="001131CD" w:rsidP="00C75E20">
      <w:pPr>
        <w:spacing w:after="0" w:line="240" w:lineRule="auto"/>
        <w:ind w:right="187"/>
        <w:jc w:val="both"/>
        <w:rPr>
          <w:rFonts w:ascii="Arial" w:hAnsi="Arial" w:cs="Arial"/>
        </w:rPr>
      </w:pPr>
      <w:r w:rsidRPr="008016AE">
        <w:rPr>
          <w:rFonts w:ascii="Arial" w:hAnsi="Arial" w:cs="Arial"/>
        </w:rPr>
        <w:t>The new CERF monitoring tool will</w:t>
      </w:r>
      <w:r w:rsidR="00C04318">
        <w:rPr>
          <w:rFonts w:ascii="Arial" w:hAnsi="Arial" w:cs="Arial"/>
        </w:rPr>
        <w:t xml:space="preserve"> fully be </w:t>
      </w:r>
      <w:r w:rsidRPr="008016AE">
        <w:rPr>
          <w:rFonts w:ascii="Arial" w:hAnsi="Arial" w:cs="Arial"/>
        </w:rPr>
        <w:t>ins</w:t>
      </w:r>
      <w:r w:rsidR="00C04318">
        <w:rPr>
          <w:rFonts w:ascii="Arial" w:hAnsi="Arial" w:cs="Arial"/>
        </w:rPr>
        <w:t xml:space="preserve">titutionalized in UNFPA in 2015 and integrated in the country office management dashboard as a performance indicator. The CERF financial tracking tool will also be reviewed on a regular </w:t>
      </w:r>
      <w:r w:rsidR="00634258">
        <w:rPr>
          <w:rFonts w:ascii="Arial" w:hAnsi="Arial" w:cs="Arial"/>
        </w:rPr>
        <w:t>basis by</w:t>
      </w:r>
      <w:r w:rsidR="00C04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UNFPA</w:t>
      </w:r>
      <w:r w:rsidR="00C04318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Humanitarian Steering Committee</w:t>
      </w:r>
      <w:r w:rsidR="00C04318">
        <w:rPr>
          <w:rFonts w:ascii="Arial" w:hAnsi="Arial" w:cs="Arial"/>
        </w:rPr>
        <w:t>, chaired by the UNFPA Executive Director and senior management.</w:t>
      </w:r>
    </w:p>
    <w:p w14:paraId="1AC8B34F" w14:textId="77777777" w:rsidR="00A92381" w:rsidRDefault="00A92381" w:rsidP="001131CD">
      <w:pPr>
        <w:spacing w:after="0" w:line="240" w:lineRule="auto"/>
        <w:ind w:right="187"/>
        <w:jc w:val="both"/>
        <w:rPr>
          <w:rFonts w:ascii="Arial" w:hAnsi="Arial" w:cs="Arial"/>
        </w:rPr>
      </w:pPr>
    </w:p>
    <w:p w14:paraId="2093A781" w14:textId="77777777" w:rsidR="00A92381" w:rsidRPr="00A92381" w:rsidRDefault="00A92381" w:rsidP="00A9238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A92381">
        <w:rPr>
          <w:rFonts w:ascii="Arial" w:hAnsi="Arial" w:cs="Arial"/>
          <w:b/>
        </w:rPr>
        <w:t xml:space="preserve">Revised Fast-Track procedures </w:t>
      </w:r>
      <w:r>
        <w:rPr>
          <w:rFonts w:ascii="Arial" w:hAnsi="Arial" w:cs="Arial"/>
          <w:b/>
        </w:rPr>
        <w:t xml:space="preserve">(FTPs) </w:t>
      </w:r>
      <w:r w:rsidRPr="00A92381">
        <w:rPr>
          <w:rFonts w:ascii="Arial" w:hAnsi="Arial" w:cs="Arial"/>
          <w:b/>
        </w:rPr>
        <w:t>for operations and programming procedures in humanitarian settings</w:t>
      </w:r>
    </w:p>
    <w:p w14:paraId="5B8DD67B" w14:textId="77777777" w:rsidR="00A92381" w:rsidRDefault="00A92381" w:rsidP="00A9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  <w:r w:rsidRPr="006C4C3D">
        <w:rPr>
          <w:rFonts w:ascii="Arial" w:hAnsi="Arial" w:cs="Arial"/>
          <w:shd w:val="clear" w:color="auto" w:fill="FFFFFF"/>
        </w:rPr>
        <w:t>UNFPA has revised its internal Fast-Track Procedures</w:t>
      </w:r>
      <w:r>
        <w:rPr>
          <w:rFonts w:ascii="Arial" w:hAnsi="Arial" w:cs="Arial"/>
          <w:shd w:val="clear" w:color="auto" w:fill="FFFFFF"/>
        </w:rPr>
        <w:t xml:space="preserve"> (FTPs)</w:t>
      </w:r>
      <w:r w:rsidRPr="006C4C3D">
        <w:rPr>
          <w:rFonts w:ascii="Arial" w:hAnsi="Arial" w:cs="Arial"/>
          <w:shd w:val="clear" w:color="auto" w:fill="FFFFFF"/>
        </w:rPr>
        <w:t xml:space="preserve"> for operations and programming in emergency settings to address key bottlenecks faced by country offices </w:t>
      </w:r>
      <w:r>
        <w:rPr>
          <w:rFonts w:ascii="Arial" w:hAnsi="Arial" w:cs="Arial"/>
          <w:shd w:val="clear" w:color="auto" w:fill="FFFFFF"/>
        </w:rPr>
        <w:t xml:space="preserve">in early 2015 </w:t>
      </w:r>
      <w:r w:rsidRPr="006C4C3D">
        <w:rPr>
          <w:rFonts w:ascii="Arial" w:hAnsi="Arial" w:cs="Arial"/>
          <w:shd w:val="clear" w:color="auto" w:fill="FFFFFF"/>
        </w:rPr>
        <w:t>taking into account recommendations from the</w:t>
      </w:r>
      <w:r>
        <w:rPr>
          <w:rFonts w:ascii="Arial" w:hAnsi="Arial" w:cs="Arial"/>
          <w:shd w:val="clear" w:color="auto" w:fill="FFFFFF"/>
        </w:rPr>
        <w:t xml:space="preserve"> internal CERF review and Global UNFPA</w:t>
      </w:r>
      <w:r w:rsidRPr="006C4C3D">
        <w:rPr>
          <w:rFonts w:ascii="Arial" w:hAnsi="Arial" w:cs="Arial"/>
          <w:shd w:val="clear" w:color="auto" w:fill="FFFFFF"/>
        </w:rPr>
        <w:t xml:space="preserve"> Humanitarian Consultation.  The FTPs are a set of procedures that offer UNFPA COs in humanitarian settings greater delegation of authority and flexibility in specific programme and operational areas for a time-bound period. </w:t>
      </w:r>
      <w:bookmarkStart w:id="0" w:name="_GoBack"/>
      <w:bookmarkEnd w:id="0"/>
    </w:p>
    <w:p w14:paraId="6B6A059F" w14:textId="77777777" w:rsidR="00282D72" w:rsidRDefault="00282D72" w:rsidP="00A9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</w:p>
    <w:p w14:paraId="5D6695E7" w14:textId="77777777" w:rsidR="00282D72" w:rsidRDefault="00282D72" w:rsidP="00A9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</w:p>
    <w:p w14:paraId="4391A38C" w14:textId="77777777" w:rsidR="00A92381" w:rsidRPr="00282D72" w:rsidRDefault="00A92381" w:rsidP="00A9238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282D72">
        <w:rPr>
          <w:rFonts w:ascii="Arial" w:hAnsi="Arial" w:cs="Arial"/>
          <w:b/>
          <w:shd w:val="clear" w:color="auto" w:fill="FFFFFF"/>
        </w:rPr>
        <w:lastRenderedPageBreak/>
        <w:t>Pre-financing: Increased annual allocation of the emergency fund from $5 million to $10 million to initiate timely humanitarian</w:t>
      </w:r>
      <w:r w:rsidR="00282D72" w:rsidRPr="00282D72">
        <w:rPr>
          <w:rFonts w:ascii="Arial" w:hAnsi="Arial" w:cs="Arial"/>
          <w:b/>
          <w:shd w:val="clear" w:color="auto" w:fill="FFFFFF"/>
        </w:rPr>
        <w:t xml:space="preserve"> response and CERF implementation </w:t>
      </w:r>
    </w:p>
    <w:p w14:paraId="453C0987" w14:textId="5365FCB6" w:rsidR="00432CAA" w:rsidRPr="00236971" w:rsidRDefault="00A414C8" w:rsidP="00432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shd w:val="clear" w:color="auto" w:fill="FFFFFF"/>
        </w:rPr>
        <w:t xml:space="preserve">In </w:t>
      </w:r>
      <w:r w:rsidR="00282D72">
        <w:rPr>
          <w:rFonts w:ascii="Arial" w:hAnsi="Arial" w:cs="Arial"/>
          <w:shd w:val="clear" w:color="auto" w:fill="FFFFFF"/>
        </w:rPr>
        <w:t>2014, UNFPA sought to provide more funding to countries experiencing emergencies and scale its response. To this end, UN</w:t>
      </w:r>
      <w:r w:rsidR="006823D9">
        <w:rPr>
          <w:rFonts w:ascii="Arial" w:hAnsi="Arial" w:cs="Arial"/>
          <w:shd w:val="clear" w:color="auto" w:fill="FFFFFF"/>
        </w:rPr>
        <w:t>F</w:t>
      </w:r>
      <w:r w:rsidR="00282D72">
        <w:rPr>
          <w:rFonts w:ascii="Arial" w:hAnsi="Arial" w:cs="Arial"/>
          <w:shd w:val="clear" w:color="auto" w:fill="FFFFFF"/>
        </w:rPr>
        <w:t>PA proposed to increase the annual allocation of the emergency fund from regular resources, from $5 million to $10 million</w:t>
      </w:r>
      <w:r>
        <w:rPr>
          <w:rFonts w:ascii="Arial" w:hAnsi="Arial" w:cs="Arial"/>
          <w:shd w:val="clear" w:color="auto" w:fill="FFFFFF"/>
        </w:rPr>
        <w:t>, which was approved the UNFPA Executive board in January 2014</w:t>
      </w:r>
      <w:r w:rsidR="001141C3">
        <w:rPr>
          <w:rFonts w:ascii="Arial" w:hAnsi="Arial" w:cs="Arial"/>
          <w:shd w:val="clear" w:color="auto" w:fill="FFFFFF"/>
        </w:rPr>
        <w:t xml:space="preserve">. The UNFPA emergency fund supports planned CERF activities while waiting for the first disbursement of CERF funds. </w:t>
      </w:r>
    </w:p>
    <w:p w14:paraId="2B464774" w14:textId="77777777" w:rsidR="00236971" w:rsidRPr="00432CAA" w:rsidRDefault="00236971" w:rsidP="00432CA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432CAA">
        <w:rPr>
          <w:rFonts w:ascii="Arial" w:eastAsia="Times New Roman" w:hAnsi="Arial" w:cs="Arial"/>
          <w:b/>
        </w:rPr>
        <w:t>Updated UNFPA</w:t>
      </w:r>
      <w:r w:rsidR="006823D9">
        <w:rPr>
          <w:rFonts w:ascii="Arial" w:eastAsia="Times New Roman" w:hAnsi="Arial" w:cs="Arial"/>
          <w:b/>
        </w:rPr>
        <w:t xml:space="preserve"> </w:t>
      </w:r>
      <w:r w:rsidRPr="00432CAA">
        <w:rPr>
          <w:rFonts w:ascii="Arial" w:eastAsia="Times New Roman" w:hAnsi="Arial" w:cs="Arial"/>
          <w:b/>
        </w:rPr>
        <w:t>-</w:t>
      </w:r>
      <w:r w:rsidR="006823D9">
        <w:rPr>
          <w:rFonts w:ascii="Arial" w:eastAsia="Times New Roman" w:hAnsi="Arial" w:cs="Arial"/>
          <w:b/>
        </w:rPr>
        <w:t xml:space="preserve"> </w:t>
      </w:r>
      <w:r w:rsidRPr="00432CAA">
        <w:rPr>
          <w:rFonts w:ascii="Arial" w:eastAsia="Times New Roman" w:hAnsi="Arial" w:cs="Arial"/>
          <w:b/>
        </w:rPr>
        <w:t>CERF guidance:</w:t>
      </w:r>
      <w:r w:rsidRPr="00432CAA">
        <w:rPr>
          <w:rFonts w:ascii="Arial" w:eastAsia="Times New Roman" w:hAnsi="Arial" w:cs="Arial"/>
        </w:rPr>
        <w:t xml:space="preserve"> </w:t>
      </w:r>
    </w:p>
    <w:p w14:paraId="422FE496" w14:textId="4EC902E5" w:rsidR="00236971" w:rsidRDefault="00236971" w:rsidP="002369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36971">
        <w:rPr>
          <w:rFonts w:ascii="Arial" w:eastAsia="Times New Roman" w:hAnsi="Arial" w:cs="Arial"/>
        </w:rPr>
        <w:t xml:space="preserve">To ensure </w:t>
      </w:r>
      <w:r w:rsidR="006823D9">
        <w:rPr>
          <w:rFonts w:ascii="Arial" w:eastAsia="Times New Roman" w:hAnsi="Arial" w:cs="Arial"/>
        </w:rPr>
        <w:t xml:space="preserve">the </w:t>
      </w:r>
      <w:r w:rsidRPr="00236971">
        <w:rPr>
          <w:rFonts w:ascii="Arial" w:eastAsia="Times New Roman" w:hAnsi="Arial" w:cs="Arial"/>
        </w:rPr>
        <w:t xml:space="preserve">swift disbursement </w:t>
      </w:r>
      <w:r w:rsidR="006823D9">
        <w:rPr>
          <w:rFonts w:ascii="Arial" w:eastAsia="Times New Roman" w:hAnsi="Arial" w:cs="Arial"/>
        </w:rPr>
        <w:t xml:space="preserve">and implementation of activities with </w:t>
      </w:r>
      <w:r w:rsidRPr="00236971">
        <w:rPr>
          <w:rFonts w:ascii="Arial" w:eastAsia="Times New Roman" w:hAnsi="Arial" w:cs="Arial"/>
        </w:rPr>
        <w:t xml:space="preserve">CERF </w:t>
      </w:r>
      <w:r w:rsidR="006823D9">
        <w:rPr>
          <w:rFonts w:ascii="Arial" w:eastAsia="Times New Roman" w:hAnsi="Arial" w:cs="Arial"/>
        </w:rPr>
        <w:t xml:space="preserve">funds, UNFPA HQ shared a document entitled </w:t>
      </w:r>
      <w:r w:rsidRPr="00236971">
        <w:rPr>
          <w:rFonts w:ascii="Arial" w:eastAsia="Times New Roman" w:hAnsi="Arial" w:cs="Arial"/>
        </w:rPr>
        <w:t>“Tips to Country Offices</w:t>
      </w:r>
      <w:r w:rsidR="006823D9">
        <w:rPr>
          <w:rFonts w:ascii="Arial" w:eastAsia="Times New Roman" w:hAnsi="Arial" w:cs="Arial"/>
        </w:rPr>
        <w:t xml:space="preserve"> on the use of CERF funds</w:t>
      </w:r>
      <w:r w:rsidRPr="00236971">
        <w:rPr>
          <w:rFonts w:ascii="Arial" w:eastAsia="Times New Roman" w:hAnsi="Arial" w:cs="Arial"/>
        </w:rPr>
        <w:t xml:space="preserve">” to </w:t>
      </w:r>
      <w:r w:rsidR="00850948">
        <w:rPr>
          <w:rFonts w:ascii="Arial" w:eastAsia="Times New Roman" w:hAnsi="Arial" w:cs="Arial"/>
        </w:rPr>
        <w:t xml:space="preserve">reiterate the importance of timely disbursement and provide practical advice to country offices ranging from issues related to planning, </w:t>
      </w:r>
      <w:r w:rsidR="00A414C8">
        <w:rPr>
          <w:rFonts w:ascii="Arial" w:eastAsia="Times New Roman" w:hAnsi="Arial" w:cs="Arial"/>
        </w:rPr>
        <w:t>disbursement</w:t>
      </w:r>
      <w:r w:rsidR="006823D9">
        <w:rPr>
          <w:rFonts w:ascii="Arial" w:eastAsia="Times New Roman" w:hAnsi="Arial" w:cs="Arial"/>
        </w:rPr>
        <w:t xml:space="preserve"> and extensions, as well as </w:t>
      </w:r>
      <w:r w:rsidR="00850948">
        <w:rPr>
          <w:rFonts w:ascii="Arial" w:eastAsia="Times New Roman" w:hAnsi="Arial" w:cs="Arial"/>
        </w:rPr>
        <w:t>actions to be taken during preparedness phase as per the new UNFPA’s guidance on Minimum</w:t>
      </w:r>
      <w:r w:rsidR="00A414C8">
        <w:rPr>
          <w:rFonts w:ascii="Arial" w:eastAsia="Times New Roman" w:hAnsi="Arial" w:cs="Arial"/>
        </w:rPr>
        <w:t xml:space="preserve"> Preparedness</w:t>
      </w:r>
      <w:r w:rsidR="00850948">
        <w:rPr>
          <w:rFonts w:ascii="Arial" w:eastAsia="Times New Roman" w:hAnsi="Arial" w:cs="Arial"/>
        </w:rPr>
        <w:t xml:space="preserve"> Actions.</w:t>
      </w:r>
    </w:p>
    <w:p w14:paraId="42613837" w14:textId="77777777" w:rsidR="00A414C8" w:rsidRPr="00A414C8" w:rsidRDefault="00634258" w:rsidP="00A414C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</w:t>
      </w:r>
      <w:r w:rsidR="00A414C8" w:rsidRPr="00A414C8">
        <w:rPr>
          <w:rFonts w:ascii="Arial" w:eastAsia="Times New Roman" w:hAnsi="Arial" w:cs="Arial"/>
          <w:b/>
        </w:rPr>
        <w:t>raining session</w:t>
      </w:r>
      <w:r>
        <w:rPr>
          <w:rFonts w:ascii="Arial" w:eastAsia="Times New Roman" w:hAnsi="Arial" w:cs="Arial"/>
          <w:b/>
        </w:rPr>
        <w:t>s</w:t>
      </w:r>
      <w:r w:rsidR="00A414C8" w:rsidRPr="00A414C8">
        <w:rPr>
          <w:rFonts w:ascii="Arial" w:eastAsia="Times New Roman" w:hAnsi="Arial" w:cs="Arial"/>
          <w:b/>
        </w:rPr>
        <w:t xml:space="preserve"> on CERF in 2015 as part of UNFPA</w:t>
      </w:r>
      <w:r>
        <w:rPr>
          <w:rFonts w:ascii="Arial" w:eastAsia="Times New Roman" w:hAnsi="Arial" w:cs="Arial"/>
          <w:b/>
        </w:rPr>
        <w:t>’s three</w:t>
      </w:r>
      <w:r w:rsidR="00A414C8" w:rsidRPr="00A414C8">
        <w:rPr>
          <w:rFonts w:ascii="Arial" w:eastAsia="Times New Roman" w:hAnsi="Arial" w:cs="Arial"/>
          <w:b/>
        </w:rPr>
        <w:t xml:space="preserve"> Surge Training </w:t>
      </w:r>
      <w:r>
        <w:rPr>
          <w:rFonts w:ascii="Arial" w:eastAsia="Times New Roman" w:hAnsi="Arial" w:cs="Arial"/>
          <w:b/>
        </w:rPr>
        <w:t>roll-out</w:t>
      </w:r>
    </w:p>
    <w:p w14:paraId="26B67B23" w14:textId="1080DA78" w:rsidR="00A414C8" w:rsidRPr="00236971" w:rsidRDefault="00A414C8" w:rsidP="00A4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36971">
        <w:rPr>
          <w:rFonts w:ascii="Arial" w:eastAsia="Times New Roman" w:hAnsi="Arial" w:cs="Arial"/>
        </w:rPr>
        <w:t xml:space="preserve">UNFPA </w:t>
      </w:r>
      <w:r w:rsidR="00634258">
        <w:rPr>
          <w:rFonts w:ascii="Arial" w:eastAsia="Times New Roman" w:hAnsi="Arial" w:cs="Arial"/>
        </w:rPr>
        <w:t xml:space="preserve">will </w:t>
      </w:r>
      <w:r>
        <w:rPr>
          <w:rFonts w:ascii="Arial" w:eastAsia="Times New Roman" w:hAnsi="Arial" w:cs="Arial"/>
        </w:rPr>
        <w:t>roll out t</w:t>
      </w:r>
      <w:r w:rsidRPr="00236971">
        <w:rPr>
          <w:rFonts w:ascii="Arial" w:eastAsia="Times New Roman" w:hAnsi="Arial" w:cs="Arial"/>
        </w:rPr>
        <w:t>hree surge training</w:t>
      </w:r>
      <w:r>
        <w:rPr>
          <w:rFonts w:ascii="Arial" w:eastAsia="Times New Roman" w:hAnsi="Arial" w:cs="Arial"/>
        </w:rPr>
        <w:t xml:space="preserve">s, including </w:t>
      </w:r>
      <w:r w:rsidR="006823D9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specific session on CERF</w:t>
      </w:r>
      <w:r w:rsidRPr="0023697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2015. The surge training </w:t>
      </w:r>
      <w:r w:rsidR="00634258">
        <w:rPr>
          <w:rFonts w:ascii="Arial" w:eastAsia="Times New Roman" w:hAnsi="Arial" w:cs="Arial"/>
        </w:rPr>
        <w:t xml:space="preserve">comprises </w:t>
      </w:r>
      <w:r>
        <w:rPr>
          <w:rFonts w:ascii="Arial" w:eastAsia="Times New Roman" w:hAnsi="Arial" w:cs="Arial"/>
        </w:rPr>
        <w:t xml:space="preserve">selected candidates from the UNFPA global surge roster to be deployed from the onset of a crisis, especially for a level 3 emergency response. UNFPA will also continue to participate </w:t>
      </w:r>
      <w:r w:rsidR="006823D9">
        <w:rPr>
          <w:rFonts w:ascii="Arial" w:eastAsia="Times New Roman" w:hAnsi="Arial" w:cs="Arial"/>
        </w:rPr>
        <w:t xml:space="preserve">in </w:t>
      </w:r>
      <w:r>
        <w:rPr>
          <w:rFonts w:ascii="Arial" w:eastAsia="Times New Roman" w:hAnsi="Arial" w:cs="Arial"/>
        </w:rPr>
        <w:t>annual CERF training conducted by OCHA at the country and regional levels</w:t>
      </w:r>
      <w:r w:rsidR="00634258">
        <w:rPr>
          <w:rFonts w:ascii="Arial" w:eastAsia="Times New Roman" w:hAnsi="Arial" w:cs="Arial"/>
        </w:rPr>
        <w:t>.</w:t>
      </w:r>
    </w:p>
    <w:p w14:paraId="419EA96F" w14:textId="77777777" w:rsidR="008016AE" w:rsidRPr="00236971" w:rsidRDefault="008016AE" w:rsidP="008016AE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7ED6D83E" w14:textId="77777777" w:rsidR="007A148B" w:rsidRPr="00236971" w:rsidRDefault="007A148B" w:rsidP="007A148B"/>
    <w:sectPr w:rsidR="007A148B" w:rsidRPr="00236971" w:rsidSect="000361D8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70089" w14:textId="77777777" w:rsidR="005343F1" w:rsidRDefault="005343F1" w:rsidP="00FC51F6">
      <w:pPr>
        <w:spacing w:after="0" w:line="240" w:lineRule="auto"/>
      </w:pPr>
      <w:r>
        <w:separator/>
      </w:r>
    </w:p>
  </w:endnote>
  <w:endnote w:type="continuationSeparator" w:id="0">
    <w:p w14:paraId="41DFB5DE" w14:textId="77777777" w:rsidR="005343F1" w:rsidRDefault="005343F1" w:rsidP="00FC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0112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6532AA" w14:textId="77777777" w:rsidR="00850948" w:rsidRDefault="008509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24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55817E" w14:textId="77777777" w:rsidR="00850948" w:rsidRDefault="00850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C7158" w14:textId="77777777" w:rsidR="005343F1" w:rsidRDefault="005343F1" w:rsidP="00FC51F6">
      <w:pPr>
        <w:spacing w:after="0" w:line="240" w:lineRule="auto"/>
      </w:pPr>
      <w:r>
        <w:separator/>
      </w:r>
    </w:p>
  </w:footnote>
  <w:footnote w:type="continuationSeparator" w:id="0">
    <w:p w14:paraId="70CA09B1" w14:textId="77777777" w:rsidR="005343F1" w:rsidRDefault="005343F1" w:rsidP="00FC51F6">
      <w:pPr>
        <w:spacing w:after="0" w:line="240" w:lineRule="auto"/>
      </w:pPr>
      <w:r>
        <w:continuationSeparator/>
      </w:r>
    </w:p>
  </w:footnote>
  <w:footnote w:id="1">
    <w:p w14:paraId="1D938222" w14:textId="77777777" w:rsidR="001131CD" w:rsidRPr="001141C3" w:rsidRDefault="001131CD" w:rsidP="001131CD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 w:rsidRPr="001A6F3B">
        <w:rPr>
          <w:lang w:val="en-US"/>
        </w:rPr>
        <w:t xml:space="preserve"> </w:t>
      </w:r>
      <w:r w:rsidRPr="001141C3">
        <w:rPr>
          <w:rFonts w:ascii="Arial" w:hAnsi="Arial" w:cs="Arial"/>
          <w:lang w:val="en-US"/>
        </w:rPr>
        <w:t>Afghanistan, Bangladesh, Myanmar, Nepal, Pakistan, Philippines, Iraq, Palestine, Somalia, Sudan, Syrian Arab Republic, Tajikistan, Turkey, Burundi, DRC, Ethiopia, Kenya, Madagascar, South Sudan, Uganda, Haiti, Colombia, Guatemala, Burkina Faso, CAR, Chad, Cote d’Ivoire, Guinea, Guinea Bissau, Mali, Mauritania, Niger, Nigeria.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44D"/>
    <w:multiLevelType w:val="hybridMultilevel"/>
    <w:tmpl w:val="8EE8D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192A"/>
    <w:multiLevelType w:val="hybridMultilevel"/>
    <w:tmpl w:val="51F6B1D6"/>
    <w:lvl w:ilvl="0" w:tplc="F620DFA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93967"/>
    <w:multiLevelType w:val="hybridMultilevel"/>
    <w:tmpl w:val="A8AC429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9F5193"/>
    <w:multiLevelType w:val="hybridMultilevel"/>
    <w:tmpl w:val="22EE6ECE"/>
    <w:lvl w:ilvl="0" w:tplc="36583FF6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17EDE"/>
    <w:multiLevelType w:val="hybridMultilevel"/>
    <w:tmpl w:val="B28C4AE6"/>
    <w:lvl w:ilvl="0" w:tplc="D4AE906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i w:val="0"/>
        <w:color w:val="1F4E79" w:themeColor="accent1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A028C"/>
    <w:multiLevelType w:val="hybridMultilevel"/>
    <w:tmpl w:val="22EE6ECE"/>
    <w:lvl w:ilvl="0" w:tplc="36583F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274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7F2FEA"/>
    <w:multiLevelType w:val="hybridMultilevel"/>
    <w:tmpl w:val="5BB0D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D0AC4"/>
    <w:multiLevelType w:val="hybridMultilevel"/>
    <w:tmpl w:val="22EE6ECE"/>
    <w:lvl w:ilvl="0" w:tplc="36583FF6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2258E"/>
    <w:multiLevelType w:val="hybridMultilevel"/>
    <w:tmpl w:val="09FA0346"/>
    <w:lvl w:ilvl="0" w:tplc="FA4AA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A2CB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8B6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6643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D0D1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DE3B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732C5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5691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0C33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B4A89"/>
    <w:multiLevelType w:val="hybridMultilevel"/>
    <w:tmpl w:val="B28C4AE6"/>
    <w:lvl w:ilvl="0" w:tplc="D4AE906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i w:val="0"/>
        <w:color w:val="1F4E79" w:themeColor="accent1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D5CC7"/>
    <w:multiLevelType w:val="hybridMultilevel"/>
    <w:tmpl w:val="6254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93F2A"/>
    <w:multiLevelType w:val="hybridMultilevel"/>
    <w:tmpl w:val="F1841192"/>
    <w:lvl w:ilvl="0" w:tplc="637E6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86684"/>
    <w:multiLevelType w:val="hybridMultilevel"/>
    <w:tmpl w:val="22EE6ECE"/>
    <w:lvl w:ilvl="0" w:tplc="36583FF6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F6"/>
    <w:rsid w:val="00034441"/>
    <w:rsid w:val="000361D8"/>
    <w:rsid w:val="00094AEA"/>
    <w:rsid w:val="001131CD"/>
    <w:rsid w:val="001141C3"/>
    <w:rsid w:val="001A5CCD"/>
    <w:rsid w:val="001A6F3B"/>
    <w:rsid w:val="001C42A8"/>
    <w:rsid w:val="001E3242"/>
    <w:rsid w:val="00224467"/>
    <w:rsid w:val="0022582D"/>
    <w:rsid w:val="00225EF9"/>
    <w:rsid w:val="00236971"/>
    <w:rsid w:val="0026365F"/>
    <w:rsid w:val="00282D72"/>
    <w:rsid w:val="002D64E3"/>
    <w:rsid w:val="00314607"/>
    <w:rsid w:val="003C6525"/>
    <w:rsid w:val="003E27B7"/>
    <w:rsid w:val="003E2BB8"/>
    <w:rsid w:val="004161B2"/>
    <w:rsid w:val="00432CAA"/>
    <w:rsid w:val="00475EED"/>
    <w:rsid w:val="004A2228"/>
    <w:rsid w:val="004A32D0"/>
    <w:rsid w:val="004C1BD6"/>
    <w:rsid w:val="00525484"/>
    <w:rsid w:val="005343F1"/>
    <w:rsid w:val="006077F1"/>
    <w:rsid w:val="00616AB5"/>
    <w:rsid w:val="00634258"/>
    <w:rsid w:val="006616FD"/>
    <w:rsid w:val="00667858"/>
    <w:rsid w:val="006823D9"/>
    <w:rsid w:val="006C4C3D"/>
    <w:rsid w:val="007A148B"/>
    <w:rsid w:val="007E5F72"/>
    <w:rsid w:val="008016AE"/>
    <w:rsid w:val="00850948"/>
    <w:rsid w:val="009176DE"/>
    <w:rsid w:val="00917C6E"/>
    <w:rsid w:val="009223AD"/>
    <w:rsid w:val="00934372"/>
    <w:rsid w:val="009839D7"/>
    <w:rsid w:val="009A0FAB"/>
    <w:rsid w:val="00A07F1A"/>
    <w:rsid w:val="00A414C8"/>
    <w:rsid w:val="00A92381"/>
    <w:rsid w:val="00AC1B8A"/>
    <w:rsid w:val="00AF1B72"/>
    <w:rsid w:val="00B64405"/>
    <w:rsid w:val="00B84B6B"/>
    <w:rsid w:val="00C04318"/>
    <w:rsid w:val="00C4709F"/>
    <w:rsid w:val="00C65E40"/>
    <w:rsid w:val="00C65F00"/>
    <w:rsid w:val="00C74B60"/>
    <w:rsid w:val="00C75E20"/>
    <w:rsid w:val="00CE46B0"/>
    <w:rsid w:val="00CF0E0B"/>
    <w:rsid w:val="00D130B1"/>
    <w:rsid w:val="00D21CFA"/>
    <w:rsid w:val="00D76485"/>
    <w:rsid w:val="00D877CF"/>
    <w:rsid w:val="00DD4775"/>
    <w:rsid w:val="00DE5226"/>
    <w:rsid w:val="00E21B16"/>
    <w:rsid w:val="00E96AF3"/>
    <w:rsid w:val="00F8625A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091B"/>
  <w15:chartTrackingRefBased/>
  <w15:docId w15:val="{162B3A21-E6F0-455D-921C-1003EE6C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1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51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51F6"/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rsid w:val="00FC51F6"/>
    <w:pPr>
      <w:spacing w:after="0" w:line="240" w:lineRule="auto"/>
    </w:pPr>
    <w:rPr>
      <w:rFonts w:ascii="Times New Roman" w:eastAsia="MS Mincho" w:hAnsi="Times New Roman" w:cs="Times New Roman"/>
      <w:noProof/>
      <w:sz w:val="20"/>
      <w:szCs w:val="20"/>
      <w:lang w:val="fr-FR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FC51F6"/>
    <w:rPr>
      <w:rFonts w:ascii="Times New Roman" w:eastAsia="MS Mincho" w:hAnsi="Times New Roman" w:cs="Times New Roman"/>
      <w:noProof/>
      <w:sz w:val="20"/>
      <w:szCs w:val="20"/>
      <w:lang w:val="fr-FR" w:eastAsia="ja-JP"/>
    </w:rPr>
  </w:style>
  <w:style w:type="character" w:styleId="FootnoteReference">
    <w:name w:val="footnote reference"/>
    <w:semiHidden/>
    <w:rsid w:val="00FC51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C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F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5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4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48"/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1131CD"/>
    <w:rPr>
      <w:rFonts w:eastAsiaTheme="minorEastAsia"/>
    </w:rPr>
  </w:style>
  <w:style w:type="character" w:styleId="CommentReference">
    <w:name w:val="annotation reference"/>
    <w:semiHidden/>
    <w:rsid w:val="00A414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14C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14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228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22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640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09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ERF" ma:contentTypeID="0x0101007DAEC9D04AEEBC41B61C3FC3EE953AF70046A25FC133553B41B6BE1B7355418576" ma:contentTypeVersion="4" ma:contentTypeDescription="" ma:contentTypeScope="" ma:versionID="3fe790133a7c74cfcdb6b4550009669e">
  <xsd:schema xmlns:xsd="http://www.w3.org/2001/XMLSchema" xmlns:xs="http://www.w3.org/2001/XMLSchema" xmlns:p="http://schemas.microsoft.com/office/2006/metadata/properties" xmlns:ns2="cf078e9c-f2c0-4512-84be-595eff771c2f" xmlns:ns3="2736338d-a5de-4faf-a6d7-f2eca3bc2627" targetNamespace="http://schemas.microsoft.com/office/2006/metadata/properties" ma:root="true" ma:fieldsID="dc3c0c113a947bca6b6767769a1e11ca" ns2:_="" ns3:_="">
    <xsd:import namespace="cf078e9c-f2c0-4512-84be-595eff771c2f"/>
    <xsd:import namespace="2736338d-a5de-4faf-a6d7-f2eca3bc26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erf_x0020_Category" minOccurs="0"/>
                <xsd:element ref="ns2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78e9c-f2c0-4512-84be-595eff771c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erf_x0020_Category" ma:index="11" nillable="true" ma:displayName="Cerf Category" ma:format="Dropdown" ma:internalName="Cerf_x0020_Category">
      <xsd:simpleType>
        <xsd:restriction base="dms:Choice">
          <xsd:enumeration value="About Cerf"/>
          <xsd:enumeration value="Advisory Group"/>
          <xsd:enumeration value="Donors"/>
          <xsd:enumeration value="Events"/>
          <xsd:enumeration value="Evaluations/Audits"/>
          <xsd:enumeration value="Resources"/>
          <xsd:enumeration value="Media"/>
          <xsd:enumeration value="RC/HC Reports"/>
        </xsd:restriction>
      </xsd:simpleType>
    </xsd:element>
    <xsd:element name="Document_x0020_Type" ma:index="12" nillable="true" ma:displayName="Document Type" ma:format="Dropdown" ma:internalName="Document_x0020_Type">
      <xsd:simpleType>
        <xsd:restriction base="dms:Choice">
          <xsd:enumeration value="Budget"/>
          <xsd:enumeration value="CAP"/>
          <xsd:enumeration value="CHAP or other non-CAP"/>
          <xsd:enumeration value="CAP-MYR"/>
          <xsd:enumeration value="Financial Contributions"/>
          <xsd:enumeration value="Flash Appeal"/>
          <xsd:enumeration value="Meeting Minutes"/>
          <xsd:enumeration value="Repor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338d-a5de-4faf-a6d7-f2eca3bc2627" elementFormDefault="qualified">
    <xsd:import namespace="http://schemas.microsoft.com/office/2006/documentManagement/types"/>
    <xsd:import namespace="http://schemas.microsoft.com/office/infopath/2007/PartnerControls"/>
    <xsd:element name="Year" ma:index="13" nillable="true" ma:displayName="Year" ma:default="2014" ma:format="Dropdown" ma:internalName="Year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f078e9c-f2c0-4512-84be-595eff771c2f" xsi:nil="true"/>
    <Cerf_x0020_Category xmlns="cf078e9c-f2c0-4512-84be-595eff771c2f" xsi:nil="true"/>
    <Year xmlns="2736338d-a5de-4faf-a6d7-f2eca3bc2627">2015</Year>
    <_dlc_DocId xmlns="cf078e9c-f2c0-4512-84be-595eff771c2f">OCHA-8-1268</_dlc_DocId>
    <_dlc_DocIdUrl xmlns="cf078e9c-f2c0-4512-84be-595eff771c2f">
      <Url>https://docs.unocha.org/sites/dms/_layouts/DocIdRedir.aspx?ID=OCHA-8-1268</Url>
      <Description>OCHA-8-1268</Description>
    </_dlc_DocIdUrl>
  </documentManagement>
</p:properties>
</file>

<file path=customXml/itemProps1.xml><?xml version="1.0" encoding="utf-8"?>
<ds:datastoreItem xmlns:ds="http://schemas.openxmlformats.org/officeDocument/2006/customXml" ds:itemID="{5FB653D0-3E4B-4547-8FF3-B4A4CC471160}"/>
</file>

<file path=customXml/itemProps2.xml><?xml version="1.0" encoding="utf-8"?>
<ds:datastoreItem xmlns:ds="http://schemas.openxmlformats.org/officeDocument/2006/customXml" ds:itemID="{428E4743-3AF9-4F53-B741-178A7764213F}"/>
</file>

<file path=customXml/itemProps3.xml><?xml version="1.0" encoding="utf-8"?>
<ds:datastoreItem xmlns:ds="http://schemas.openxmlformats.org/officeDocument/2006/customXml" ds:itemID="{609811C3-C951-4B63-962C-EA53F352CB3A}"/>
</file>

<file path=customXml/itemProps4.xml><?xml version="1.0" encoding="utf-8"?>
<ds:datastoreItem xmlns:ds="http://schemas.openxmlformats.org/officeDocument/2006/customXml" ds:itemID="{CB6378EB-49D3-4E1B-83E5-A48C0F4F189B}"/>
</file>

<file path=customXml/itemProps5.xml><?xml version="1.0" encoding="utf-8"?>
<ds:datastoreItem xmlns:ds="http://schemas.openxmlformats.org/officeDocument/2006/customXml" ds:itemID="{6981B775-C2C1-4082-A0CD-16AA8E67A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Central Emergency Response Fund (CERF): UNFPA actions to improve timely disbursement and implementation</vt:lpstr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Central Emergency Response Fund (CERF): UNFPA actions to improve timely disbursement and implementation</dc:title>
  <dc:subject/>
  <dc:creator>HFCB</dc:creator>
  <cp:keywords/>
  <dc:description/>
  <cp:lastModifiedBy>HFCB</cp:lastModifiedBy>
  <cp:revision>2</cp:revision>
  <cp:lastPrinted>2015-05-14T01:54:00Z</cp:lastPrinted>
  <dcterms:created xsi:type="dcterms:W3CDTF">2015-05-19T18:24:00Z</dcterms:created>
  <dcterms:modified xsi:type="dcterms:W3CDTF">2015-05-19T18:24:00Z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0x0101007DAEC9D04AEEBC41B61C3FC3EE953AF70046A25FC133553B41B6BE1B7355418576</vt:lpwstr>
  </property>
  <property fmtid="{D5CDD505-2E9C-101B-9397-08002B2CF9AE}" pid="3" name="_dlc_DocIdItemGuid">
    <vt:lpwstr>1c2ef42a-6bd8-4924-8d77-c2751b7c6802</vt:lpwstr>
  </property>
</Properties>
</file>